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E0370" w:rsidRDefault="00000000">
      <w:pPr>
        <w:spacing w:after="0" w:line="240" w:lineRule="auto"/>
        <w:ind w:left="9718"/>
        <w:jc w:val="left"/>
      </w:pPr>
      <w:sdt>
        <w:sdtPr>
          <w:tag w:val="goog_rdk_0"/>
          <w:id w:val="1013955619"/>
        </w:sdtPr>
        <w:sdtContent/>
      </w:sdt>
      <w:r>
        <w:t>Raseinių Šaltinio progimnazijos</w:t>
      </w:r>
    </w:p>
    <w:p w14:paraId="00000002" w14:textId="77777777" w:rsidR="005E0370" w:rsidRDefault="00000000">
      <w:pPr>
        <w:spacing w:after="0" w:line="240" w:lineRule="auto"/>
        <w:ind w:left="9781"/>
        <w:jc w:val="left"/>
      </w:pPr>
      <w:r>
        <w:t>veiklos plano 2025 metams</w:t>
      </w:r>
    </w:p>
    <w:p w14:paraId="00000003" w14:textId="77777777" w:rsidR="005E0370" w:rsidRDefault="00000000">
      <w:pPr>
        <w:spacing w:after="0" w:line="240" w:lineRule="auto"/>
        <w:ind w:left="9781"/>
        <w:jc w:val="left"/>
      </w:pPr>
      <w:r>
        <w:t>9 priedas</w:t>
      </w:r>
    </w:p>
    <w:p w14:paraId="00000004" w14:textId="77777777" w:rsidR="005E0370" w:rsidRDefault="005E0370">
      <w:pPr>
        <w:spacing w:after="0" w:line="240" w:lineRule="auto"/>
        <w:jc w:val="center"/>
      </w:pPr>
    </w:p>
    <w:p w14:paraId="00000005" w14:textId="77777777" w:rsidR="005E0370" w:rsidRDefault="00000000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RASEINIŲ ŠALTINIO PROGIMNAZIJOS</w:t>
      </w:r>
    </w:p>
    <w:p w14:paraId="00000006" w14:textId="77777777" w:rsidR="005E0370" w:rsidRDefault="00000000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METODINĖS TARYBOS VEIKLOS PLANAS 2025 M. </w:t>
      </w:r>
    </w:p>
    <w:p w14:paraId="00000007" w14:textId="77777777" w:rsidR="005E0370" w:rsidRDefault="005E0370">
      <w:pPr>
        <w:spacing w:after="0" w:line="360" w:lineRule="auto"/>
        <w:jc w:val="center"/>
        <w:rPr>
          <w:b/>
        </w:rPr>
      </w:pPr>
    </w:p>
    <w:p w14:paraId="00000008" w14:textId="77777777" w:rsidR="005E0370" w:rsidRDefault="00000000">
      <w:pPr>
        <w:spacing w:after="0" w:line="240" w:lineRule="auto"/>
        <w:jc w:val="center"/>
        <w:rPr>
          <w:b/>
        </w:rPr>
      </w:pPr>
      <w:r>
        <w:rPr>
          <w:b/>
        </w:rPr>
        <w:t xml:space="preserve">I SKYRIUS </w:t>
      </w:r>
    </w:p>
    <w:p w14:paraId="00000009" w14:textId="77777777" w:rsidR="005E0370" w:rsidRDefault="00000000">
      <w:pPr>
        <w:spacing w:after="0" w:line="240" w:lineRule="auto"/>
        <w:jc w:val="center"/>
        <w:rPr>
          <w:b/>
        </w:rPr>
      </w:pPr>
      <w:r>
        <w:rPr>
          <w:b/>
        </w:rPr>
        <w:t>BENDROSIOS NUOSTATOS</w:t>
      </w:r>
    </w:p>
    <w:p w14:paraId="0000000A" w14:textId="77777777" w:rsidR="005E0370" w:rsidRDefault="005E0370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14:paraId="0000000B" w14:textId="44114E9D" w:rsidR="005E0370" w:rsidRDefault="00000000">
      <w:pPr>
        <w:spacing w:after="0" w:line="360" w:lineRule="auto"/>
      </w:pPr>
      <w:r>
        <w:t xml:space="preserve">            Rengiant metodinės tarybos veiklos planą remtasi: strateginiais mokyklos 2024 - 2026 m. tikslais ir uždaviniais, Raseinių Šaltinio progimnazijos metodinės tarybos veiklos reglamentu patvirtintu 202</w:t>
      </w:r>
      <w:r w:rsidR="006E028C">
        <w:t>0</w:t>
      </w:r>
      <w:r>
        <w:t xml:space="preserve"> m. rugsėjo 24 d. direktoriaus įsakymu Nr. V1-179.</w:t>
      </w:r>
    </w:p>
    <w:p w14:paraId="0000000C" w14:textId="77777777" w:rsidR="005E0370" w:rsidRDefault="00000000">
      <w:pPr>
        <w:spacing w:after="0" w:line="360" w:lineRule="auto"/>
        <w:ind w:firstLine="709"/>
      </w:pPr>
      <w:r>
        <w:t xml:space="preserve">Metodinę tarybą sudaro dalykinių metodinių grupių pirmininkai: pradinių klasių mokytojų metodinės grupės pirmininkė Saulė </w:t>
      </w:r>
      <w:proofErr w:type="spellStart"/>
      <w:r>
        <w:t>Tiškuvienė</w:t>
      </w:r>
      <w:proofErr w:type="spellEnd"/>
      <w:r>
        <w:t xml:space="preserve">, lietuvių kalbos  mokytojų metodinės grupės pirmininkė Neringa </w:t>
      </w:r>
      <w:proofErr w:type="spellStart"/>
      <w:r>
        <w:t>Viršilienė</w:t>
      </w:r>
      <w:proofErr w:type="spellEnd"/>
      <w:r>
        <w:t xml:space="preserve">, užsienio kalbos mokytojų metodinės grupės pirmininkė Lijana </w:t>
      </w:r>
      <w:proofErr w:type="spellStart"/>
      <w:r>
        <w:t>Ivoškienė</w:t>
      </w:r>
      <w:proofErr w:type="spellEnd"/>
      <w:r>
        <w:t xml:space="preserve">,  menų, technologijų ir kūno kultūros mokytojų metodinės grupės pirmininkė </w:t>
      </w:r>
      <w:proofErr w:type="spellStart"/>
      <w:r>
        <w:t>Daura</w:t>
      </w:r>
      <w:proofErr w:type="spellEnd"/>
      <w:r>
        <w:t xml:space="preserve"> Giedraitienė, dorinio ugdymo, gamtos, socialinių, tiksliųjų mokslų mokytojų metodinės grupės (DUGST) pirmininkė Linutė </w:t>
      </w:r>
      <w:proofErr w:type="spellStart"/>
      <w:r>
        <w:t>Žurkauskienė</w:t>
      </w:r>
      <w:proofErr w:type="spellEnd"/>
      <w:r>
        <w:t xml:space="preserve">, 5-8 klasių vadovų mokytojų metodinės grupės pirmininkė Albina </w:t>
      </w:r>
      <w:proofErr w:type="spellStart"/>
      <w:r>
        <w:t>Abromavičienė</w:t>
      </w:r>
      <w:proofErr w:type="spellEnd"/>
      <w:r>
        <w:t>. Metodinės tarybos veiklą koordinuoja direktoriaus pavaduotoja ugdymui Jolanta Stankaitienė.</w:t>
      </w:r>
    </w:p>
    <w:p w14:paraId="0000000D" w14:textId="77777777" w:rsidR="005E0370" w:rsidRDefault="005E0370">
      <w:pPr>
        <w:spacing w:after="0" w:line="240" w:lineRule="auto"/>
        <w:jc w:val="left"/>
        <w:rPr>
          <w:b/>
        </w:rPr>
      </w:pPr>
    </w:p>
    <w:p w14:paraId="0000000E" w14:textId="77777777" w:rsidR="005E0370" w:rsidRDefault="00000000">
      <w:pPr>
        <w:spacing w:after="0" w:line="240" w:lineRule="auto"/>
        <w:jc w:val="left"/>
      </w:pPr>
      <w:r>
        <w:rPr>
          <w:b/>
          <w:color w:val="000000"/>
        </w:rPr>
        <w:t xml:space="preserve">              </w:t>
      </w:r>
    </w:p>
    <w:p w14:paraId="0000000F" w14:textId="77777777" w:rsidR="005E0370" w:rsidRDefault="00000000">
      <w:pPr>
        <w:spacing w:after="160" w:line="259" w:lineRule="auto"/>
        <w:jc w:val="left"/>
        <w:rPr>
          <w:b/>
        </w:rPr>
      </w:pPr>
      <w:r>
        <w:br w:type="page"/>
      </w:r>
    </w:p>
    <w:p w14:paraId="00000010" w14:textId="77777777" w:rsidR="005E0370" w:rsidRDefault="0000000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II SKYRIUS</w:t>
      </w:r>
    </w:p>
    <w:p w14:paraId="00000011" w14:textId="77777777" w:rsidR="005E0370" w:rsidRDefault="00000000">
      <w:pPr>
        <w:tabs>
          <w:tab w:val="left" w:pos="4320"/>
        </w:tabs>
        <w:spacing w:after="0" w:line="360" w:lineRule="auto"/>
        <w:jc w:val="center"/>
        <w:rPr>
          <w:b/>
          <w:smallCaps/>
        </w:rPr>
      </w:pPr>
      <w:r>
        <w:rPr>
          <w:b/>
          <w:smallCaps/>
        </w:rPr>
        <w:t>TIKSLAI IR UŽDAVINIAI</w:t>
      </w:r>
    </w:p>
    <w:p w14:paraId="00000012" w14:textId="77777777" w:rsidR="005E0370" w:rsidRDefault="005E0370">
      <w:pPr>
        <w:tabs>
          <w:tab w:val="left" w:pos="4320"/>
        </w:tabs>
        <w:spacing w:after="0" w:line="360" w:lineRule="auto"/>
        <w:jc w:val="center"/>
        <w:rPr>
          <w:b/>
        </w:rPr>
      </w:pPr>
      <w:bookmarkStart w:id="0" w:name="_heading=h.gjdgxs" w:colFirst="0" w:colLast="0"/>
      <w:bookmarkEnd w:id="0"/>
    </w:p>
    <w:p w14:paraId="00000013" w14:textId="77777777" w:rsidR="005E037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Užtikrinti kompetencijomis grįstą atnaujinto ugdymo turinio įgyvendinimą</w:t>
      </w:r>
    </w:p>
    <w:p w14:paraId="00000014" w14:textId="77777777" w:rsidR="005E037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Atnaujinti ugdymo erdves ir įsigyti mokymo priemones, reikalingas įgyvendinant atnaujintas bendrąsias programas</w:t>
      </w:r>
    </w:p>
    <w:p w14:paraId="00000015" w14:textId="77777777" w:rsidR="005E037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Tobulinti pedagogų profesines kompetencijas, dirbant su atnaujintu ugdymo turiniu</w:t>
      </w:r>
    </w:p>
    <w:p w14:paraId="00000016" w14:textId="77777777" w:rsidR="005E037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Sukurti sąlygas kiekvienam mokiniui pagal jo gebėjimus įgyti aukštesnius pasiekimus, suteikiant tvarius žinių pagrindus</w:t>
      </w:r>
    </w:p>
    <w:p w14:paraId="00000017" w14:textId="77777777" w:rsidR="005E0370" w:rsidRDefault="005E03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b/>
          <w:i/>
          <w:color w:val="000000"/>
          <w:sz w:val="22"/>
          <w:szCs w:val="22"/>
        </w:rPr>
      </w:pPr>
    </w:p>
    <w:p w14:paraId="00000018" w14:textId="77777777" w:rsidR="005E037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b/>
          <w:i/>
          <w:color w:val="000000"/>
          <w:sz w:val="22"/>
          <w:szCs w:val="22"/>
        </w:rPr>
        <w:t xml:space="preserve">Kurti </w:t>
      </w:r>
      <w:proofErr w:type="spellStart"/>
      <w:r>
        <w:rPr>
          <w:b/>
          <w:i/>
          <w:color w:val="000000"/>
          <w:sz w:val="22"/>
          <w:szCs w:val="22"/>
        </w:rPr>
        <w:t>bebarjeres</w:t>
      </w:r>
      <w:proofErr w:type="spellEnd"/>
      <w:r>
        <w:rPr>
          <w:b/>
          <w:i/>
          <w:color w:val="000000"/>
          <w:sz w:val="22"/>
          <w:szCs w:val="22"/>
        </w:rPr>
        <w:t xml:space="preserve"> ugdymo sąlygas kiekvienam bendruomenės nariui</w:t>
      </w:r>
    </w:p>
    <w:p w14:paraId="00000019" w14:textId="77777777" w:rsidR="005E037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Tobulinti mokinių ir pedagogų kompetencijas, įgyvendinant rajoninius, nacionalinius ir tarptautinius projektus</w:t>
      </w:r>
    </w:p>
    <w:p w14:paraId="0000001A" w14:textId="77777777" w:rsidR="005E0370" w:rsidRDefault="005E03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jc w:val="left"/>
        <w:rPr>
          <w:color w:val="000000"/>
          <w:sz w:val="22"/>
          <w:szCs w:val="22"/>
        </w:rPr>
      </w:pPr>
    </w:p>
    <w:p w14:paraId="0000001B" w14:textId="77777777" w:rsidR="005E037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b/>
          <w:i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b/>
          <w:i/>
          <w:color w:val="000000"/>
          <w:sz w:val="22"/>
          <w:szCs w:val="22"/>
        </w:rPr>
        <w:t>Gerinti socialinę emocinę aplinką, integruojant progimnazijos vertybes į bendruomenės veiklas</w:t>
      </w:r>
    </w:p>
    <w:p w14:paraId="0000001C" w14:textId="77777777" w:rsidR="005E037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Gerinti mokinių ir pedagogų emocinę sveikatą ir kurti saugią psichosocialinę aplinką </w:t>
      </w:r>
    </w:p>
    <w:p w14:paraId="0000001D" w14:textId="77777777" w:rsidR="005E0370" w:rsidRDefault="005E037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40"/>
        <w:jc w:val="left"/>
        <w:rPr>
          <w:color w:val="000000"/>
          <w:sz w:val="22"/>
          <w:szCs w:val="22"/>
        </w:rPr>
      </w:pPr>
    </w:p>
    <w:p w14:paraId="0000001E" w14:textId="77777777" w:rsidR="005E0370" w:rsidRDefault="00000000">
      <w:pPr>
        <w:spacing w:after="0" w:line="240" w:lineRule="auto"/>
        <w:jc w:val="center"/>
        <w:rPr>
          <w:b/>
        </w:rPr>
      </w:pPr>
      <w:r>
        <w:rPr>
          <w:b/>
        </w:rPr>
        <w:t>III  SKYRIUS</w:t>
      </w:r>
    </w:p>
    <w:p w14:paraId="0000001F" w14:textId="77777777" w:rsidR="005E0370" w:rsidRDefault="00000000">
      <w:pPr>
        <w:spacing w:after="0" w:line="240" w:lineRule="auto"/>
        <w:jc w:val="center"/>
        <w:rPr>
          <w:b/>
        </w:rPr>
      </w:pPr>
      <w:r>
        <w:rPr>
          <w:b/>
        </w:rPr>
        <w:t>VEIKLOS TURINYS</w:t>
      </w:r>
    </w:p>
    <w:p w14:paraId="00000020" w14:textId="77777777" w:rsidR="005E0370" w:rsidRDefault="005E0370"/>
    <w:p w14:paraId="00000021" w14:textId="77777777" w:rsidR="005E037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360" w:lineRule="auto"/>
        <w:jc w:val="left"/>
        <w:rPr>
          <w:b/>
          <w:color w:val="000000"/>
        </w:rPr>
      </w:pPr>
      <w:r>
        <w:rPr>
          <w:b/>
          <w:color w:val="000000"/>
        </w:rPr>
        <w:t>Tikslas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b/>
          <w:color w:val="000000"/>
        </w:rPr>
        <w:t>Užtikrinti kompetencijomis grįstą atnaujinto ugdymo turinio įgyvendinimą.</w:t>
      </w:r>
    </w:p>
    <w:p w14:paraId="00000022" w14:textId="77777777" w:rsidR="005E0370" w:rsidRDefault="005E0370">
      <w:pPr>
        <w:spacing w:after="0" w:line="240" w:lineRule="auto"/>
        <w:rPr>
          <w:b/>
        </w:rPr>
      </w:pPr>
    </w:p>
    <w:tbl>
      <w:tblPr>
        <w:tblStyle w:val="a"/>
        <w:tblW w:w="152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5345"/>
        <w:gridCol w:w="91"/>
        <w:gridCol w:w="1269"/>
        <w:gridCol w:w="2109"/>
        <w:gridCol w:w="1406"/>
        <w:gridCol w:w="4215"/>
      </w:tblGrid>
      <w:tr w:rsidR="006E028C" w14:paraId="1BF01638" w14:textId="77777777" w:rsidTr="00712B05">
        <w:trPr>
          <w:trHeight w:val="370"/>
        </w:trPr>
        <w:tc>
          <w:tcPr>
            <w:tcW w:w="15250" w:type="dxa"/>
            <w:gridSpan w:val="7"/>
            <w:tcBorders>
              <w:right w:val="single" w:sz="4" w:space="0" w:color="000000"/>
            </w:tcBorders>
          </w:tcPr>
          <w:p w14:paraId="00000024" w14:textId="77777777" w:rsidR="006E028C" w:rsidRDefault="006E028C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 1.1.Uždavinys. Atnaujinti ugdymo erdves ir įsigyti mokymo priemones, reikalingas įgyvendinant atnaujintas bendrąsias programas</w:t>
            </w:r>
          </w:p>
        </w:tc>
      </w:tr>
      <w:tr w:rsidR="006E028C" w14:paraId="6491191D" w14:textId="77777777" w:rsidTr="00736E7E">
        <w:tc>
          <w:tcPr>
            <w:tcW w:w="815" w:type="dxa"/>
            <w:tcBorders>
              <w:right w:val="single" w:sz="4" w:space="0" w:color="000000"/>
            </w:tcBorders>
          </w:tcPr>
          <w:p w14:paraId="0000002C" w14:textId="77777777" w:rsidR="006E028C" w:rsidRDefault="006E028C">
            <w:pPr>
              <w:spacing w:after="0" w:line="240" w:lineRule="auto"/>
              <w:ind w:right="-244"/>
              <w:jc w:val="left"/>
              <w:rPr>
                <w:b/>
              </w:rPr>
            </w:pPr>
            <w:r>
              <w:rPr>
                <w:b/>
              </w:rPr>
              <w:t>Eil.</w:t>
            </w:r>
          </w:p>
          <w:p w14:paraId="0000002D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2E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Priemonės  pavadinimas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30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31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Vykdytojai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32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Reikalingos lėšos (Eur)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33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Laukiami rezultatai</w:t>
            </w:r>
          </w:p>
        </w:tc>
      </w:tr>
      <w:tr w:rsidR="006E028C" w14:paraId="2D7D6546" w14:textId="77777777" w:rsidTr="00EB7C06">
        <w:tc>
          <w:tcPr>
            <w:tcW w:w="815" w:type="dxa"/>
            <w:tcBorders>
              <w:right w:val="single" w:sz="4" w:space="0" w:color="000000"/>
            </w:tcBorders>
          </w:tcPr>
          <w:p w14:paraId="00000035" w14:textId="77777777" w:rsidR="006E028C" w:rsidRDefault="006E028C">
            <w:pPr>
              <w:spacing w:after="0" w:line="240" w:lineRule="auto"/>
              <w:ind w:right="-244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36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38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39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3A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3B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E028C" w14:paraId="3EA2EBF2" w14:textId="77777777" w:rsidTr="00D3171F">
        <w:tc>
          <w:tcPr>
            <w:tcW w:w="815" w:type="dxa"/>
            <w:tcBorders>
              <w:right w:val="single" w:sz="4" w:space="0" w:color="000000"/>
            </w:tcBorders>
          </w:tcPr>
          <w:p w14:paraId="0000003D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3E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Metodinės tarybos veiklos plano 202</w:t>
            </w:r>
            <w:r>
              <w:t>5</w:t>
            </w:r>
            <w:r>
              <w:rPr>
                <w:color w:val="000000"/>
              </w:rPr>
              <w:t xml:space="preserve"> m. projekto rengimas. Pasiūlymų svarstymas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40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Sausio mėn.</w:t>
            </w:r>
          </w:p>
          <w:p w14:paraId="00000041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III savaitė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42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Metodinė taryba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43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44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</w:rPr>
            </w:pPr>
            <w:r>
              <w:rPr>
                <w:color w:val="000000"/>
              </w:rPr>
              <w:t>Bus parengtas 202</w:t>
            </w:r>
            <w:r>
              <w:t>5</w:t>
            </w:r>
            <w:r>
              <w:rPr>
                <w:color w:val="000000"/>
              </w:rPr>
              <w:t xml:space="preserve"> m. metodinės tarybos veiklos planas, pateikti pasiūlymai 202</w:t>
            </w:r>
            <w:r>
              <w:t>5</w:t>
            </w:r>
            <w:r>
              <w:rPr>
                <w:color w:val="000000"/>
              </w:rPr>
              <w:t xml:space="preserve"> m. progimnazijos veiklos planui</w:t>
            </w:r>
          </w:p>
        </w:tc>
      </w:tr>
      <w:tr w:rsidR="006E028C" w14:paraId="0B4281A1" w14:textId="77777777" w:rsidTr="00F0021A">
        <w:tc>
          <w:tcPr>
            <w:tcW w:w="815" w:type="dxa"/>
            <w:tcBorders>
              <w:right w:val="single" w:sz="4" w:space="0" w:color="000000"/>
            </w:tcBorders>
          </w:tcPr>
          <w:p w14:paraId="00000046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47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Pedagogų apklausa dėl mokymo priemonių poreikio, įgyvendinant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bendrąsias programas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49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Sausio, lapkričio mėnuo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4A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Metodinė taryba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4B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4C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</w:rPr>
            </w:pPr>
            <w:r>
              <w:rPr>
                <w:color w:val="000000"/>
              </w:rPr>
              <w:t xml:space="preserve">Sausio mėnesį bus atlikta </w:t>
            </w:r>
            <w:r>
              <w:t>pedagogų</w:t>
            </w:r>
            <w:r>
              <w:rPr>
                <w:color w:val="000000"/>
              </w:rPr>
              <w:t xml:space="preserve"> apklausa dėl mokymo priemonių poreikio ir pateikta informacija metiniam viešųjų </w:t>
            </w:r>
            <w:r>
              <w:rPr>
                <w:color w:val="000000"/>
              </w:rPr>
              <w:lastRenderedPageBreak/>
              <w:t>pirkimų planui. Lapkričio mėnesį patikslintas mokymo priemonių poreikis</w:t>
            </w:r>
          </w:p>
        </w:tc>
      </w:tr>
      <w:tr w:rsidR="006E028C" w14:paraId="1173A162" w14:textId="77777777" w:rsidTr="00B16D78">
        <w:trPr>
          <w:trHeight w:val="567"/>
        </w:trPr>
        <w:tc>
          <w:tcPr>
            <w:tcW w:w="815" w:type="dxa"/>
            <w:tcBorders>
              <w:right w:val="single" w:sz="4" w:space="0" w:color="000000"/>
            </w:tcBorders>
          </w:tcPr>
          <w:p w14:paraId="0000004E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5436" w:type="dxa"/>
            <w:gridSpan w:val="2"/>
          </w:tcPr>
          <w:p w14:paraId="0000004F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AD47"/>
              </w:rPr>
            </w:pPr>
            <w:r>
              <w:t>Virtualus pedagogų forumas: “Radai - išbandei - pasidalink”. Skaitmeninių įrankių taikymas ugdymo procese</w:t>
            </w:r>
          </w:p>
        </w:tc>
        <w:tc>
          <w:tcPr>
            <w:tcW w:w="1269" w:type="dxa"/>
          </w:tcPr>
          <w:p w14:paraId="00000051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highlight w:val="yellow"/>
              </w:rPr>
            </w:pPr>
            <w:r>
              <w:t>Visus metus</w:t>
            </w:r>
          </w:p>
        </w:tc>
        <w:tc>
          <w:tcPr>
            <w:tcW w:w="2109" w:type="dxa"/>
          </w:tcPr>
          <w:p w14:paraId="00000052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Metodinė taryba</w:t>
            </w:r>
          </w:p>
        </w:tc>
        <w:tc>
          <w:tcPr>
            <w:tcW w:w="1406" w:type="dxa"/>
          </w:tcPr>
          <w:p w14:paraId="00000053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215" w:type="dxa"/>
          </w:tcPr>
          <w:p w14:paraId="00000054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Bus</w:t>
            </w:r>
            <w:r>
              <w:t xml:space="preserve"> sukurta</w:t>
            </w:r>
            <w:r>
              <w:rPr>
                <w:color w:val="000000"/>
              </w:rPr>
              <w:t xml:space="preserve"> </w:t>
            </w:r>
            <w:r>
              <w:t>interaktyvi</w:t>
            </w:r>
            <w:r>
              <w:rPr>
                <w:color w:val="000000"/>
              </w:rPr>
              <w:t xml:space="preserve">  bendradarbiavimu pagrįst</w:t>
            </w:r>
            <w:r>
              <w:t>a</w:t>
            </w:r>
            <w:r>
              <w:rPr>
                <w:color w:val="000000"/>
              </w:rPr>
              <w:t xml:space="preserve"> erdv</w:t>
            </w:r>
            <w:r>
              <w:t xml:space="preserve">ė </w:t>
            </w:r>
            <w:proofErr w:type="spellStart"/>
            <w:r>
              <w:t>google</w:t>
            </w:r>
            <w:proofErr w:type="spellEnd"/>
            <w:r>
              <w:t xml:space="preserve"> diske</w:t>
            </w:r>
            <w:r>
              <w:rPr>
                <w:color w:val="000000"/>
              </w:rPr>
              <w:t xml:space="preserve">, kur </w:t>
            </w:r>
            <w:r>
              <w:t>pedagogai</w:t>
            </w:r>
            <w:r>
              <w:rPr>
                <w:color w:val="000000"/>
              </w:rPr>
              <w:t xml:space="preserve"> galė</w:t>
            </w:r>
            <w:r>
              <w:t>s</w:t>
            </w:r>
            <w:r>
              <w:rPr>
                <w:color w:val="000000"/>
              </w:rPr>
              <w:t xml:space="preserve"> dalintis</w:t>
            </w:r>
            <w:r>
              <w:t xml:space="preserve"> atrastais ir išbandytais skaitmeniniais įrankiais, aptarti jų veiksmingumą ugdymo procese ir</w:t>
            </w:r>
          </w:p>
          <w:p w14:paraId="00000055" w14:textId="77777777" w:rsidR="006E028C" w:rsidRDefault="006E028C">
            <w:pPr>
              <w:spacing w:after="0"/>
            </w:pPr>
            <w:r>
              <w:t>pasidalinti praktiniais patarimais, kaip šiuos įrankius efektyviai pritaikyti</w:t>
            </w:r>
          </w:p>
          <w:p w14:paraId="00000056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70AD47"/>
              </w:rPr>
            </w:pPr>
            <w:r>
              <w:t xml:space="preserve">Dalyvaus 60 proc. pedagogų. </w:t>
            </w:r>
          </w:p>
        </w:tc>
      </w:tr>
      <w:tr w:rsidR="006E028C" w14:paraId="1C02E04E" w14:textId="77777777" w:rsidTr="0056236D">
        <w:tc>
          <w:tcPr>
            <w:tcW w:w="15250" w:type="dxa"/>
            <w:gridSpan w:val="7"/>
            <w:tcBorders>
              <w:right w:val="single" w:sz="4" w:space="0" w:color="000000"/>
            </w:tcBorders>
          </w:tcPr>
          <w:p w14:paraId="00000058" w14:textId="77777777" w:rsidR="006E028C" w:rsidRDefault="006E028C">
            <w:pPr>
              <w:spacing w:after="0" w:line="240" w:lineRule="auto"/>
              <w:ind w:left="780"/>
              <w:rPr>
                <w:b/>
              </w:rPr>
            </w:pPr>
            <w:bookmarkStart w:id="3" w:name="_heading=h.3znysh7" w:colFirst="0" w:colLast="0"/>
            <w:bookmarkEnd w:id="3"/>
          </w:p>
          <w:p w14:paraId="00000059" w14:textId="77777777" w:rsidR="006E028C" w:rsidRDefault="006E02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1.2. Uždavinys. Tobulinti pedagogų profesines kompetencijas, dirbant su atnaujintu ugdymo turiniu</w:t>
            </w:r>
          </w:p>
        </w:tc>
      </w:tr>
      <w:tr w:rsidR="006E028C" w14:paraId="3563D08D" w14:textId="77777777" w:rsidTr="005F39C5">
        <w:tc>
          <w:tcPr>
            <w:tcW w:w="815" w:type="dxa"/>
            <w:tcBorders>
              <w:right w:val="single" w:sz="4" w:space="0" w:color="000000"/>
            </w:tcBorders>
          </w:tcPr>
          <w:p w14:paraId="00000061" w14:textId="77777777" w:rsidR="006E028C" w:rsidRDefault="006E028C">
            <w:pPr>
              <w:spacing w:after="0" w:line="240" w:lineRule="auto"/>
              <w:ind w:right="-102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0000062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63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Priemonės  pavadinimas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64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66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Vykdytojai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67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Reikalingos lėšos (Eur)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68" w14:textId="77777777" w:rsidR="006E028C" w:rsidRDefault="006E0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Laukiami rezultatai</w:t>
            </w:r>
          </w:p>
        </w:tc>
      </w:tr>
      <w:tr w:rsidR="006E028C" w14:paraId="51447E40" w14:textId="77777777" w:rsidTr="00532CFC">
        <w:tc>
          <w:tcPr>
            <w:tcW w:w="815" w:type="dxa"/>
            <w:tcBorders>
              <w:right w:val="single" w:sz="4" w:space="0" w:color="000000"/>
            </w:tcBorders>
          </w:tcPr>
          <w:p w14:paraId="0000006A" w14:textId="77777777" w:rsidR="006E028C" w:rsidRDefault="006E028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B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t>Pedagogų</w:t>
            </w:r>
            <w:r>
              <w:rPr>
                <w:color w:val="000000"/>
              </w:rPr>
              <w:t xml:space="preserve"> lankytų kvalifikacinių seminarų ir metodinių užsiėmimų medžiagos pasidalijimas metodinėse grupėse ir jos pritaikymas pamokose</w:t>
            </w:r>
          </w:p>
          <w:p w14:paraId="0000006C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D" w14:textId="77777777" w:rsidR="006E028C" w:rsidRDefault="006E028C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Visus metus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6E028C" w:rsidRDefault="006E028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Metodinė taryba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0" w14:textId="77777777" w:rsidR="006E028C" w:rsidRDefault="006E028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77777777" w:rsidR="006E028C" w:rsidRDefault="006E028C">
            <w:pPr>
              <w:spacing w:after="0" w:line="240" w:lineRule="auto"/>
              <w:rPr>
                <w:color w:val="000000"/>
              </w:rPr>
            </w:pPr>
            <w:r>
              <w:t>Bus patobulintos bendrosios ir dalykinės mokytojų kompetencijos</w:t>
            </w:r>
          </w:p>
        </w:tc>
      </w:tr>
      <w:tr w:rsidR="006E028C" w14:paraId="4BAC2C99" w14:textId="77777777" w:rsidTr="00C02686">
        <w:tc>
          <w:tcPr>
            <w:tcW w:w="815" w:type="dxa"/>
            <w:tcBorders>
              <w:right w:val="single" w:sz="4" w:space="0" w:color="000000"/>
            </w:tcBorders>
          </w:tcPr>
          <w:p w14:paraId="00000073" w14:textId="77777777" w:rsidR="006E028C" w:rsidRDefault="006E028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4" w14:textId="77777777" w:rsidR="006E028C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t>Atviros pamokos rajono pedagogams, įgyvendinant TŪM veiklas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5" w14:textId="77777777" w:rsidR="006E028C" w:rsidRDefault="006E028C">
            <w:pPr>
              <w:spacing w:after="0" w:line="240" w:lineRule="auto"/>
              <w:jc w:val="left"/>
            </w:pPr>
            <w:r>
              <w:t>Visus metus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7" w14:textId="77777777" w:rsidR="006E028C" w:rsidRDefault="006E028C">
            <w:pPr>
              <w:spacing w:after="0" w:line="240" w:lineRule="auto"/>
              <w:rPr>
                <w:color w:val="FF0000"/>
              </w:rPr>
            </w:pPr>
            <w:r>
              <w:t>Metodinė  taryba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8" w14:textId="77777777" w:rsidR="006E028C" w:rsidRDefault="006E028C">
            <w:pPr>
              <w:spacing w:after="0" w:line="240" w:lineRule="auto"/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9" w14:textId="77777777" w:rsidR="006E028C" w:rsidRDefault="006E028C">
            <w:pPr>
              <w:spacing w:after="0" w:line="240" w:lineRule="auto"/>
              <w:rPr>
                <w:color w:val="FF0000"/>
              </w:rPr>
            </w:pPr>
            <w:r>
              <w:t>Visos metodinės grupės ves bent  vieną atvirą pamoką rajono pedagogams</w:t>
            </w:r>
          </w:p>
        </w:tc>
      </w:tr>
      <w:tr w:rsidR="006E028C" w14:paraId="31936EA0" w14:textId="77777777" w:rsidTr="0021155A">
        <w:tc>
          <w:tcPr>
            <w:tcW w:w="815" w:type="dxa"/>
            <w:tcBorders>
              <w:right w:val="single" w:sz="4" w:space="0" w:color="000000"/>
            </w:tcBorders>
          </w:tcPr>
          <w:p w14:paraId="5A7EB831" w14:textId="56846546" w:rsidR="006E028C" w:rsidRDefault="006E028C" w:rsidP="005C71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345" w:type="dxa"/>
          </w:tcPr>
          <w:p w14:paraId="4A6D1448" w14:textId="78A64BF6" w:rsidR="006E028C" w:rsidRDefault="006E028C" w:rsidP="005C7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t>Virtualus pedagogų forumas: “Radai - išbandei - pasidalink”. Skaitmeninių įrankių taikymas ugdymo procese</w:t>
            </w:r>
          </w:p>
        </w:tc>
        <w:tc>
          <w:tcPr>
            <w:tcW w:w="1360" w:type="dxa"/>
            <w:gridSpan w:val="2"/>
          </w:tcPr>
          <w:p w14:paraId="55AFD7E2" w14:textId="1EBD1C7F" w:rsidR="006E028C" w:rsidRDefault="006E028C" w:rsidP="005C7146">
            <w:pPr>
              <w:spacing w:after="0" w:line="240" w:lineRule="auto"/>
              <w:jc w:val="left"/>
            </w:pPr>
            <w:r>
              <w:t>Visus metus</w:t>
            </w:r>
          </w:p>
        </w:tc>
        <w:tc>
          <w:tcPr>
            <w:tcW w:w="2109" w:type="dxa"/>
          </w:tcPr>
          <w:p w14:paraId="55F9EF1D" w14:textId="57FAFEFD" w:rsidR="006E028C" w:rsidRDefault="006E028C" w:rsidP="005C7146">
            <w:pPr>
              <w:spacing w:after="0" w:line="240" w:lineRule="auto"/>
            </w:pPr>
            <w:r>
              <w:rPr>
                <w:color w:val="000000"/>
              </w:rPr>
              <w:t>Metodinė taryba</w:t>
            </w:r>
          </w:p>
        </w:tc>
        <w:tc>
          <w:tcPr>
            <w:tcW w:w="1406" w:type="dxa"/>
          </w:tcPr>
          <w:p w14:paraId="70570898" w14:textId="53151B5B" w:rsidR="006E028C" w:rsidRDefault="006E028C" w:rsidP="005C7146">
            <w:pPr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15" w:type="dxa"/>
          </w:tcPr>
          <w:p w14:paraId="6BC75E07" w14:textId="77777777" w:rsidR="006E028C" w:rsidRDefault="006E028C" w:rsidP="005C7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Bus</w:t>
            </w:r>
            <w:r>
              <w:t xml:space="preserve"> sukurta</w:t>
            </w:r>
            <w:r>
              <w:rPr>
                <w:color w:val="000000"/>
              </w:rPr>
              <w:t xml:space="preserve"> </w:t>
            </w:r>
            <w:r>
              <w:t>interaktyvi</w:t>
            </w:r>
            <w:r>
              <w:rPr>
                <w:color w:val="000000"/>
              </w:rPr>
              <w:t xml:space="preserve">  bendradarbiavimu pagrįst</w:t>
            </w:r>
            <w:r>
              <w:t>a</w:t>
            </w:r>
            <w:r>
              <w:rPr>
                <w:color w:val="000000"/>
              </w:rPr>
              <w:t xml:space="preserve"> erdv</w:t>
            </w:r>
            <w:r>
              <w:t xml:space="preserve">ė </w:t>
            </w:r>
            <w:proofErr w:type="spellStart"/>
            <w:r>
              <w:t>google</w:t>
            </w:r>
            <w:proofErr w:type="spellEnd"/>
            <w:r>
              <w:t xml:space="preserve"> diske</w:t>
            </w:r>
            <w:r>
              <w:rPr>
                <w:color w:val="000000"/>
              </w:rPr>
              <w:t xml:space="preserve">, kur </w:t>
            </w:r>
            <w:r>
              <w:t>pedagogai</w:t>
            </w:r>
            <w:r>
              <w:rPr>
                <w:color w:val="000000"/>
              </w:rPr>
              <w:t xml:space="preserve"> galė</w:t>
            </w:r>
            <w:r>
              <w:t>s</w:t>
            </w:r>
            <w:r>
              <w:rPr>
                <w:color w:val="000000"/>
              </w:rPr>
              <w:t xml:space="preserve"> dalintis</w:t>
            </w:r>
            <w:r>
              <w:t xml:space="preserve"> atrastais ir išbandytais skaitmeniniais įrankiais, aptarti jų veiksmingumą ugdymo procese ir</w:t>
            </w:r>
          </w:p>
          <w:p w14:paraId="5A6F28EE" w14:textId="77777777" w:rsidR="006E028C" w:rsidRDefault="006E028C" w:rsidP="005C7146">
            <w:pPr>
              <w:spacing w:after="0"/>
            </w:pPr>
            <w:r>
              <w:t>pasidalinti praktiniais patarimais, kaip šiuos įrankius efektyviai pritaikyti</w:t>
            </w:r>
          </w:p>
          <w:p w14:paraId="55F19FFC" w14:textId="75820BFF" w:rsidR="006E028C" w:rsidRDefault="006E028C" w:rsidP="005C7146">
            <w:pPr>
              <w:spacing w:after="0" w:line="240" w:lineRule="auto"/>
            </w:pPr>
            <w:r>
              <w:t xml:space="preserve">Dalyvaus 60 proc. pedagogų. </w:t>
            </w:r>
          </w:p>
        </w:tc>
      </w:tr>
      <w:tr w:rsidR="005C7146" w14:paraId="2737D123" w14:textId="77777777">
        <w:tc>
          <w:tcPr>
            <w:tcW w:w="15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7A" w14:textId="77777777" w:rsidR="005C7146" w:rsidRDefault="005C7146" w:rsidP="005C7146">
            <w:pPr>
              <w:spacing w:after="0" w:line="240" w:lineRule="auto"/>
              <w:ind w:left="780"/>
              <w:rPr>
                <w:b/>
              </w:rPr>
            </w:pPr>
          </w:p>
          <w:p w14:paraId="0000007B" w14:textId="77777777" w:rsidR="005C7146" w:rsidRDefault="005C7146" w:rsidP="005C71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 1.3. Uždavinys. Sukurti sąlygas kiekvienam mokiniui pagal jo gebėjimus įgyti aukštesnius pasiekimus, suteikiant tvarius žinių pagrindus</w:t>
            </w:r>
          </w:p>
        </w:tc>
      </w:tr>
      <w:tr w:rsidR="005C7146" w14:paraId="235EE03E" w14:textId="77777777" w:rsidTr="005C714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83" w14:textId="77777777" w:rsidR="005C7146" w:rsidRDefault="005C7146" w:rsidP="005C7146">
            <w:pPr>
              <w:spacing w:after="0" w:line="240" w:lineRule="auto"/>
              <w:ind w:right="-102"/>
              <w:jc w:val="center"/>
              <w:rPr>
                <w:b/>
              </w:rPr>
            </w:pPr>
            <w:r>
              <w:rPr>
                <w:b/>
              </w:rPr>
              <w:lastRenderedPageBreak/>
              <w:t>Eil.</w:t>
            </w:r>
          </w:p>
          <w:p w14:paraId="00000084" w14:textId="77777777" w:rsidR="005C7146" w:rsidRDefault="005C7146" w:rsidP="005C71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86" w14:textId="77777777" w:rsidR="005C7146" w:rsidRDefault="005C7146" w:rsidP="005C71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Priemonės  pavadinimas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87" w14:textId="77777777" w:rsidR="005C7146" w:rsidRDefault="005C7146" w:rsidP="005C71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89" w14:textId="77777777" w:rsidR="005C7146" w:rsidRDefault="005C7146" w:rsidP="005C71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Vykdytojai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8A" w14:textId="77777777" w:rsidR="005C7146" w:rsidRDefault="005C7146" w:rsidP="005C71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Reikalingos lėšos (Eur)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00008B" w14:textId="77777777" w:rsidR="005C7146" w:rsidRDefault="005C7146" w:rsidP="005C71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Laukiami rezultatai</w:t>
            </w:r>
          </w:p>
        </w:tc>
      </w:tr>
      <w:tr w:rsidR="005C7146" w14:paraId="09CD6AAA" w14:textId="77777777" w:rsidTr="005C714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C" w14:textId="77777777" w:rsidR="005C7146" w:rsidRDefault="005C7146" w:rsidP="005C71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E" w14:textId="77777777" w:rsidR="005C7146" w:rsidRDefault="005C7146" w:rsidP="005C7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Olimpiadų mokyklos etapų, konkursų, akcijų ir kt. iniciatyvų organizavimas, skatinantis mokinių saviraišką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F" w14:textId="77777777" w:rsidR="005C7146" w:rsidRDefault="005C7146" w:rsidP="005C7146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Sausio- birželio mėn.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1" w14:textId="77777777" w:rsidR="005C7146" w:rsidRDefault="005C7146" w:rsidP="005C714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J. Stankaitienė,</w:t>
            </w:r>
          </w:p>
          <w:p w14:paraId="00000092" w14:textId="77777777" w:rsidR="005C7146" w:rsidRDefault="005C7146" w:rsidP="005C714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metodinė taryba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3" w14:textId="77777777" w:rsidR="005C7146" w:rsidRDefault="005C7146" w:rsidP="005C71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4" w14:textId="77777777" w:rsidR="005C7146" w:rsidRDefault="005C7146" w:rsidP="005C714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Bus suorganizuot</w:t>
            </w:r>
            <w:r>
              <w:t>i</w:t>
            </w:r>
            <w:r>
              <w:rPr>
                <w:color w:val="000000"/>
              </w:rPr>
              <w:t xml:space="preserve"> ne mažiau kaip </w:t>
            </w:r>
            <w:r>
              <w:t>10</w:t>
            </w:r>
            <w:r>
              <w:rPr>
                <w:color w:val="000000"/>
              </w:rPr>
              <w:t xml:space="preserve"> ugdomųjų dalykų olimpiadų mokyklos etapai ir išrinkti mokiniai siunčiami į rajono etapus. Bus įgyvendint</w:t>
            </w:r>
            <w:r>
              <w:t>os</w:t>
            </w:r>
            <w:r>
              <w:rPr>
                <w:color w:val="000000"/>
              </w:rPr>
              <w:t xml:space="preserve"> </w:t>
            </w:r>
            <w:r>
              <w:t>ne mažiau</w:t>
            </w:r>
            <w:r>
              <w:rPr>
                <w:color w:val="000000"/>
              </w:rPr>
              <w:t xml:space="preserve"> kaip 8 priemonės (konkursas/ varžybos/ akcija ar kt.), sudarančios galimybę mokinių saviraiškai pagal individualius gebėjimus ir galimybes</w:t>
            </w:r>
          </w:p>
        </w:tc>
      </w:tr>
      <w:tr w:rsidR="005C7146" w14:paraId="2881C1D1" w14:textId="77777777" w:rsidTr="005C714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5" w14:textId="77777777" w:rsidR="005C7146" w:rsidRDefault="005C7146" w:rsidP="005C71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7" w14:textId="77777777" w:rsidR="005C7146" w:rsidRDefault="005C7146" w:rsidP="005C7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Metodinių grupių pirmininkų dalyvavimas susirinkimuose priimant sprendimus dėl ugdymo(</w:t>
            </w:r>
            <w:proofErr w:type="spellStart"/>
            <w:r>
              <w:rPr>
                <w:color w:val="000000"/>
              </w:rPr>
              <w:t>si</w:t>
            </w:r>
            <w:proofErr w:type="spellEnd"/>
            <w:r>
              <w:rPr>
                <w:color w:val="000000"/>
              </w:rPr>
              <w:t>) proceso ir veiklų organizavimo</w:t>
            </w:r>
          </w:p>
          <w:p w14:paraId="00000098" w14:textId="77777777" w:rsidR="005C7146" w:rsidRDefault="005C7146" w:rsidP="005C7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</w:p>
          <w:p w14:paraId="00000099" w14:textId="77777777" w:rsidR="005C7146" w:rsidRDefault="005C7146" w:rsidP="005C7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A" w14:textId="77777777" w:rsidR="005C7146" w:rsidRDefault="005C7146" w:rsidP="005C7146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Visus metus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C" w14:textId="77777777" w:rsidR="005C7146" w:rsidRDefault="005C7146" w:rsidP="005C714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Metodinė taryba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D" w14:textId="77777777" w:rsidR="005C7146" w:rsidRDefault="005C7146" w:rsidP="005C71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E" w14:textId="77777777" w:rsidR="005C7146" w:rsidRDefault="005C7146" w:rsidP="005C714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Visi metodinių grupių pirmininkai dalyvaus susirinkimuose rengiant, strateginį, veiklos ir ugdymo planus, įgyvendinant TŪM programą ir kt., </w:t>
            </w:r>
            <w:r>
              <w:t>p</w:t>
            </w:r>
            <w:r>
              <w:rPr>
                <w:color w:val="000000"/>
              </w:rPr>
              <w:t xml:space="preserve">ateiks pasiūlymus ir rekomendacijas </w:t>
            </w:r>
          </w:p>
        </w:tc>
      </w:tr>
      <w:tr w:rsidR="005C7146" w14:paraId="14F54266" w14:textId="77777777" w:rsidTr="005C7146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F" w14:textId="77777777" w:rsidR="005C7146" w:rsidRDefault="005C7146" w:rsidP="005C71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1" w14:textId="77777777" w:rsidR="005C7146" w:rsidRDefault="005C7146" w:rsidP="005C7146">
            <w:pPr>
              <w:spacing w:after="0" w:line="240" w:lineRule="auto"/>
              <w:rPr>
                <w:highlight w:val="yellow"/>
              </w:rPr>
            </w:pPr>
            <w:r>
              <w:t xml:space="preserve">Teminių dienų „Mokomės kartu: tema, jungianti visus“ organizavimas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2" w14:textId="77777777" w:rsidR="005C7146" w:rsidRDefault="005C7146" w:rsidP="005C7146">
            <w:pPr>
              <w:spacing w:after="0" w:line="240" w:lineRule="auto"/>
              <w:jc w:val="left"/>
            </w:pPr>
            <w:r>
              <w:t>Visus metus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4" w14:textId="77777777" w:rsidR="005C7146" w:rsidRDefault="005C7146" w:rsidP="005C7146">
            <w:pPr>
              <w:spacing w:after="0" w:line="240" w:lineRule="auto"/>
              <w:jc w:val="left"/>
            </w:pPr>
            <w:r>
              <w:t>J. Stankaitienė, metodinė taryba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5" w14:textId="77777777" w:rsidR="005C7146" w:rsidRDefault="005C7146" w:rsidP="005C7146">
            <w:pPr>
              <w:spacing w:after="0" w:line="240" w:lineRule="auto"/>
              <w:jc w:val="left"/>
              <w:rPr>
                <w:highlight w:val="yellow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269B" w14:textId="77777777" w:rsidR="006E028C" w:rsidRDefault="006E028C" w:rsidP="006E028C">
            <w:pPr>
              <w:spacing w:after="0" w:line="240" w:lineRule="auto"/>
            </w:pPr>
            <w:r>
              <w:t>Bus įgyvendintos ne mažiau kai 2 teminės dienos. Dalyvaus 80 proc. pedagogų</w:t>
            </w:r>
            <w:r>
              <w:t xml:space="preserve">. </w:t>
            </w:r>
          </w:p>
          <w:p w14:paraId="000000A6" w14:textId="62EC377D" w:rsidR="005C7146" w:rsidRDefault="005C7146" w:rsidP="006E028C">
            <w:pPr>
              <w:spacing w:after="0" w:line="240" w:lineRule="auto"/>
            </w:pPr>
            <w:r>
              <w:t>Bus skatinamas tarpdisciplininis bendradarbiavimas tarp pedagogų ir ugdomi aukštesni mokinių pasiekimai, stiprinant tvarius žinių pagrindus</w:t>
            </w:r>
          </w:p>
        </w:tc>
      </w:tr>
    </w:tbl>
    <w:p w14:paraId="000000A7" w14:textId="77777777" w:rsidR="005E0370" w:rsidRDefault="00000000">
      <w:pPr>
        <w:ind w:left="142"/>
        <w:rPr>
          <w:b/>
        </w:rPr>
      </w:pPr>
      <w:r>
        <w:rPr>
          <w:b/>
        </w:rPr>
        <w:t xml:space="preserve">   </w:t>
      </w:r>
    </w:p>
    <w:p w14:paraId="000000A8" w14:textId="77777777" w:rsidR="005E0370" w:rsidRDefault="00000000">
      <w:pPr>
        <w:ind w:left="142"/>
      </w:pPr>
      <w:r>
        <w:rPr>
          <w:b/>
        </w:rPr>
        <w:t>2    Tikslas:</w:t>
      </w:r>
      <w:r>
        <w:t xml:space="preserve"> </w:t>
      </w:r>
      <w:r>
        <w:rPr>
          <w:b/>
        </w:rPr>
        <w:t xml:space="preserve">Kurti </w:t>
      </w:r>
      <w:proofErr w:type="spellStart"/>
      <w:r>
        <w:rPr>
          <w:b/>
        </w:rPr>
        <w:t>bebarjeres</w:t>
      </w:r>
      <w:proofErr w:type="spellEnd"/>
      <w:r>
        <w:rPr>
          <w:b/>
        </w:rPr>
        <w:t xml:space="preserve"> ugdymo sąlygas kiekvienam bendruomenės nariui.</w:t>
      </w:r>
    </w:p>
    <w:tbl>
      <w:tblPr>
        <w:tblStyle w:val="a0"/>
        <w:tblW w:w="151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494"/>
        <w:gridCol w:w="1280"/>
        <w:gridCol w:w="2127"/>
        <w:gridCol w:w="1418"/>
        <w:gridCol w:w="4281"/>
      </w:tblGrid>
      <w:tr w:rsidR="005E0370" w14:paraId="200103DF" w14:textId="77777777">
        <w:tc>
          <w:tcPr>
            <w:tcW w:w="15163" w:type="dxa"/>
            <w:gridSpan w:val="6"/>
            <w:shd w:val="clear" w:color="auto" w:fill="BFBFBF"/>
          </w:tcPr>
          <w:p w14:paraId="000000A9" w14:textId="77777777" w:rsidR="005E0370" w:rsidRDefault="005E0370">
            <w:pPr>
              <w:spacing w:after="0" w:line="240" w:lineRule="auto"/>
              <w:jc w:val="center"/>
              <w:rPr>
                <w:b/>
              </w:rPr>
            </w:pPr>
          </w:p>
          <w:p w14:paraId="000000AA" w14:textId="77777777" w:rsidR="005E037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2.1. Uždavinys. Tobulinti mokinių ir pedagogų kompetencijas, įgyvendinant rajoninius, nacionalinius ir tarptautinius projektus</w:t>
            </w:r>
          </w:p>
        </w:tc>
      </w:tr>
      <w:tr w:rsidR="005E0370" w14:paraId="61FE3A0E" w14:textId="77777777">
        <w:tc>
          <w:tcPr>
            <w:tcW w:w="563" w:type="dxa"/>
            <w:shd w:val="clear" w:color="auto" w:fill="BFBFBF"/>
          </w:tcPr>
          <w:p w14:paraId="000000B0" w14:textId="77777777" w:rsidR="005E0370" w:rsidRDefault="00000000">
            <w:pPr>
              <w:spacing w:after="0" w:line="240" w:lineRule="auto"/>
              <w:ind w:right="-74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00000B1" w14:textId="77777777" w:rsidR="005E0370" w:rsidRDefault="00000000">
            <w:pPr>
              <w:spacing w:after="0" w:line="240" w:lineRule="auto"/>
              <w:ind w:right="-74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494" w:type="dxa"/>
            <w:shd w:val="clear" w:color="auto" w:fill="BFBFBF"/>
          </w:tcPr>
          <w:p w14:paraId="000000B2" w14:textId="77777777" w:rsidR="005E037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Priemonės  pavadinimas</w:t>
            </w:r>
          </w:p>
        </w:tc>
        <w:tc>
          <w:tcPr>
            <w:tcW w:w="1280" w:type="dxa"/>
            <w:shd w:val="clear" w:color="auto" w:fill="BFBFBF"/>
          </w:tcPr>
          <w:p w14:paraId="000000B3" w14:textId="77777777" w:rsidR="005E037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127" w:type="dxa"/>
            <w:shd w:val="clear" w:color="auto" w:fill="BFBFBF"/>
          </w:tcPr>
          <w:p w14:paraId="000000B4" w14:textId="77777777" w:rsidR="005E037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Vykdytojai</w:t>
            </w:r>
          </w:p>
        </w:tc>
        <w:tc>
          <w:tcPr>
            <w:tcW w:w="1418" w:type="dxa"/>
            <w:shd w:val="clear" w:color="auto" w:fill="BFBFBF"/>
          </w:tcPr>
          <w:p w14:paraId="000000B5" w14:textId="77777777" w:rsidR="005E037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Reikalingos lėšos (Eur)</w:t>
            </w:r>
          </w:p>
        </w:tc>
        <w:tc>
          <w:tcPr>
            <w:tcW w:w="4281" w:type="dxa"/>
            <w:shd w:val="clear" w:color="auto" w:fill="BFBFBF"/>
          </w:tcPr>
          <w:p w14:paraId="000000B6" w14:textId="77777777" w:rsidR="005E037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Laukiami rezultatai</w:t>
            </w:r>
          </w:p>
        </w:tc>
      </w:tr>
      <w:tr w:rsidR="005E0370" w14:paraId="71062631" w14:textId="77777777">
        <w:tc>
          <w:tcPr>
            <w:tcW w:w="563" w:type="dxa"/>
            <w:shd w:val="clear" w:color="auto" w:fill="BFBFBF"/>
          </w:tcPr>
          <w:p w14:paraId="000000B7" w14:textId="77777777" w:rsidR="005E0370" w:rsidRDefault="00000000">
            <w:pPr>
              <w:spacing w:after="0" w:line="240" w:lineRule="auto"/>
              <w:ind w:right="-7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94" w:type="dxa"/>
            <w:shd w:val="clear" w:color="auto" w:fill="BFBFBF"/>
          </w:tcPr>
          <w:p w14:paraId="000000B8" w14:textId="77777777" w:rsidR="005E037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80" w:type="dxa"/>
            <w:shd w:val="clear" w:color="auto" w:fill="BFBFBF"/>
          </w:tcPr>
          <w:p w14:paraId="000000B9" w14:textId="77777777" w:rsidR="005E037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BFBFBF"/>
          </w:tcPr>
          <w:p w14:paraId="000000BA" w14:textId="77777777" w:rsidR="005E037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BFBFBF"/>
          </w:tcPr>
          <w:p w14:paraId="000000BB" w14:textId="77777777" w:rsidR="005E037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81" w:type="dxa"/>
            <w:shd w:val="clear" w:color="auto" w:fill="BFBFBF"/>
          </w:tcPr>
          <w:p w14:paraId="000000BC" w14:textId="77777777" w:rsidR="005E0370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E0370" w14:paraId="13F4105A" w14:textId="77777777">
        <w:tc>
          <w:tcPr>
            <w:tcW w:w="563" w:type="dxa"/>
          </w:tcPr>
          <w:p w14:paraId="000000BD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5494" w:type="dxa"/>
          </w:tcPr>
          <w:p w14:paraId="000000BE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Metodinės valandos. Informacijos sklaida ir viešinimas po programos Erasmus + kvalifikacijos renginių.</w:t>
            </w:r>
          </w:p>
          <w:p w14:paraId="000000BF" w14:textId="77777777" w:rsidR="005E0370" w:rsidRDefault="005E0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</w:p>
        </w:tc>
        <w:tc>
          <w:tcPr>
            <w:tcW w:w="1280" w:type="dxa"/>
          </w:tcPr>
          <w:p w14:paraId="000000C0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Balandžio, spalio mėnuo</w:t>
            </w:r>
          </w:p>
        </w:tc>
        <w:tc>
          <w:tcPr>
            <w:tcW w:w="2127" w:type="dxa"/>
          </w:tcPr>
          <w:p w14:paraId="000000C1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Metodinė taryba</w:t>
            </w:r>
          </w:p>
        </w:tc>
        <w:tc>
          <w:tcPr>
            <w:tcW w:w="1418" w:type="dxa"/>
          </w:tcPr>
          <w:p w14:paraId="000000C2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281" w:type="dxa"/>
          </w:tcPr>
          <w:p w14:paraId="000000C3" w14:textId="05361AE9" w:rsidR="005E0370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6E028C">
              <w:t>Visi mokytojai, dalyvavę Erasmus+ programos mobilumuose, pasidalins įgytomis žiniomis. Bus skatinimas mokytojų bendradarbiavimas ir profesionalumo augimas, siekiant ugdymo(</w:t>
            </w:r>
            <w:proofErr w:type="spellStart"/>
            <w:r w:rsidRPr="006E028C">
              <w:t>si</w:t>
            </w:r>
            <w:proofErr w:type="spellEnd"/>
            <w:r w:rsidRPr="006E028C">
              <w:t>) kokybės</w:t>
            </w:r>
          </w:p>
        </w:tc>
      </w:tr>
      <w:tr w:rsidR="005E0370" w14:paraId="15240B90" w14:textId="77777777">
        <w:tc>
          <w:tcPr>
            <w:tcW w:w="563" w:type="dxa"/>
          </w:tcPr>
          <w:p w14:paraId="000000C4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494" w:type="dxa"/>
          </w:tcPr>
          <w:p w14:paraId="000000C5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  <w:r>
              <w:t>Stažuotė „</w:t>
            </w:r>
            <w:proofErr w:type="spellStart"/>
            <w:r>
              <w:t>Blic</w:t>
            </w:r>
            <w:proofErr w:type="spellEnd"/>
            <w:r>
              <w:t xml:space="preserve"> metodai: greiti sprendimai netikėtoms situacijoms ugdymo procese“</w:t>
            </w:r>
          </w:p>
          <w:p w14:paraId="000000C6" w14:textId="77777777" w:rsidR="005E0370" w:rsidRDefault="005E0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highlight w:val="yellow"/>
              </w:rPr>
            </w:pPr>
          </w:p>
          <w:p w14:paraId="000000C7" w14:textId="77777777" w:rsidR="005E0370" w:rsidRDefault="005E0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highlight w:val="yellow"/>
              </w:rPr>
            </w:pPr>
          </w:p>
        </w:tc>
        <w:tc>
          <w:tcPr>
            <w:tcW w:w="1280" w:type="dxa"/>
          </w:tcPr>
          <w:p w14:paraId="000000C8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t>I ar II pusmetį</w:t>
            </w:r>
          </w:p>
        </w:tc>
        <w:tc>
          <w:tcPr>
            <w:tcW w:w="2127" w:type="dxa"/>
          </w:tcPr>
          <w:p w14:paraId="000000C9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t>J. Stankaitienė, m</w:t>
            </w:r>
            <w:r>
              <w:rPr>
                <w:color w:val="000000"/>
              </w:rPr>
              <w:t>etodinė taryba</w:t>
            </w:r>
          </w:p>
        </w:tc>
        <w:tc>
          <w:tcPr>
            <w:tcW w:w="1418" w:type="dxa"/>
          </w:tcPr>
          <w:p w14:paraId="000000CA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</w:t>
            </w:r>
          </w:p>
        </w:tc>
        <w:tc>
          <w:tcPr>
            <w:tcW w:w="4281" w:type="dxa"/>
          </w:tcPr>
          <w:p w14:paraId="000000CB" w14:textId="6EB1BE55" w:rsidR="005E0370" w:rsidRDefault="006E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6E028C">
              <w:t>Stažuotėje dalyvaus 10 pedagogų. Bus stiprinami pedagogų gebėjimai išlaikyti mokinių dėmesį, motyvaciją ir aktyvų įsitraukimą, greitai reaguoti į ugdymo proceso iššūkius. Ugdymo procesas taps lankstesnis ir labiau pritaikytas besikeičiančioms mokinių poreikiams.</w:t>
            </w:r>
          </w:p>
        </w:tc>
      </w:tr>
    </w:tbl>
    <w:p w14:paraId="000000CC" w14:textId="77777777" w:rsidR="005E0370" w:rsidRDefault="005E0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14:paraId="000000CD" w14:textId="77777777" w:rsidR="005E037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              3    Tikslas. </w:t>
      </w:r>
      <w:r>
        <w:rPr>
          <w:b/>
          <w:color w:val="000000"/>
        </w:rPr>
        <w:t>Gerinti socialinę emocinę aplinką, integruojant progimnazijos vertybes į bendruomenės veiklas</w:t>
      </w:r>
    </w:p>
    <w:p w14:paraId="000000CE" w14:textId="77777777" w:rsidR="005E0370" w:rsidRDefault="005E0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</w:rPr>
      </w:pPr>
    </w:p>
    <w:tbl>
      <w:tblPr>
        <w:tblStyle w:val="a1"/>
        <w:tblW w:w="15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505"/>
        <w:gridCol w:w="1275"/>
        <w:gridCol w:w="2130"/>
        <w:gridCol w:w="1425"/>
        <w:gridCol w:w="4275"/>
      </w:tblGrid>
      <w:tr w:rsidR="005E0370" w14:paraId="22DC5600" w14:textId="77777777">
        <w:tc>
          <w:tcPr>
            <w:tcW w:w="15165" w:type="dxa"/>
            <w:gridSpan w:val="6"/>
            <w:shd w:val="clear" w:color="auto" w:fill="BFBFBF"/>
          </w:tcPr>
          <w:p w14:paraId="000000CF" w14:textId="77777777" w:rsidR="005E0370" w:rsidRDefault="005E0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000000"/>
              </w:rPr>
            </w:pPr>
          </w:p>
          <w:p w14:paraId="000000D0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3.1. Uždavinys.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</w:rPr>
              <w:t>Gerinti mokinių ir pedagogų emocinę sveikatą ir kurti saugią psichosocialinę aplinką</w:t>
            </w:r>
          </w:p>
        </w:tc>
      </w:tr>
      <w:tr w:rsidR="005E0370" w14:paraId="79DC0ACC" w14:textId="77777777">
        <w:tc>
          <w:tcPr>
            <w:tcW w:w="555" w:type="dxa"/>
            <w:shd w:val="clear" w:color="auto" w:fill="BFBFBF"/>
          </w:tcPr>
          <w:p w14:paraId="000000D6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7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Eil.</w:t>
            </w:r>
          </w:p>
          <w:p w14:paraId="000000D7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Nr.</w:t>
            </w:r>
          </w:p>
        </w:tc>
        <w:tc>
          <w:tcPr>
            <w:tcW w:w="5505" w:type="dxa"/>
            <w:shd w:val="clear" w:color="auto" w:fill="BFBFBF"/>
          </w:tcPr>
          <w:p w14:paraId="000000D8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Priemonės  pavadinimas</w:t>
            </w:r>
          </w:p>
        </w:tc>
        <w:tc>
          <w:tcPr>
            <w:tcW w:w="1275" w:type="dxa"/>
            <w:shd w:val="clear" w:color="auto" w:fill="BFBFBF"/>
          </w:tcPr>
          <w:p w14:paraId="000000D9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2130" w:type="dxa"/>
            <w:shd w:val="clear" w:color="auto" w:fill="BFBFBF"/>
          </w:tcPr>
          <w:p w14:paraId="000000DA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Vykdytojai</w:t>
            </w:r>
          </w:p>
        </w:tc>
        <w:tc>
          <w:tcPr>
            <w:tcW w:w="1425" w:type="dxa"/>
            <w:shd w:val="clear" w:color="auto" w:fill="BFBFBF"/>
          </w:tcPr>
          <w:p w14:paraId="000000DB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Reikalingos lėšos (Eur)</w:t>
            </w:r>
          </w:p>
        </w:tc>
        <w:tc>
          <w:tcPr>
            <w:tcW w:w="4275" w:type="dxa"/>
            <w:shd w:val="clear" w:color="auto" w:fill="BFBFBF"/>
          </w:tcPr>
          <w:p w14:paraId="000000DC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Laukiami rezultatai</w:t>
            </w:r>
          </w:p>
        </w:tc>
      </w:tr>
      <w:tr w:rsidR="005E0370" w14:paraId="09973B49" w14:textId="77777777">
        <w:tc>
          <w:tcPr>
            <w:tcW w:w="555" w:type="dxa"/>
          </w:tcPr>
          <w:p w14:paraId="000000DD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505" w:type="dxa"/>
          </w:tcPr>
          <w:p w14:paraId="000000DE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t>Streso valdymo praktika: „Streso valdymo ir emocinės gerovės stiprinimas mokytojo darbe“</w:t>
            </w:r>
          </w:p>
        </w:tc>
        <w:tc>
          <w:tcPr>
            <w:tcW w:w="1275" w:type="dxa"/>
          </w:tcPr>
          <w:p w14:paraId="000000DF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t>Visus metus</w:t>
            </w:r>
          </w:p>
        </w:tc>
        <w:tc>
          <w:tcPr>
            <w:tcW w:w="2130" w:type="dxa"/>
          </w:tcPr>
          <w:p w14:paraId="000000E0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>
              <w:t>Metodinė taryba</w:t>
            </w:r>
          </w:p>
        </w:tc>
        <w:tc>
          <w:tcPr>
            <w:tcW w:w="1425" w:type="dxa"/>
          </w:tcPr>
          <w:p w14:paraId="000000E1" w14:textId="77777777" w:rsidR="005E03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275" w:type="dxa"/>
          </w:tcPr>
          <w:p w14:paraId="000000E2" w14:textId="27B2D525" w:rsidR="005E0370" w:rsidRDefault="006E028C">
            <w:pPr>
              <w:jc w:val="left"/>
              <w:rPr>
                <w:color w:val="FF0000"/>
                <w:highlight w:val="yellow"/>
              </w:rPr>
            </w:pPr>
            <w:r>
              <w:t>30 proc. pedagogų pasidalins savo patirtimi ir įžvalgomis, kaip išvengti perdegimo bei rūpintis emocine gerove (savo ir kolegų) „</w:t>
            </w:r>
            <w:proofErr w:type="spellStart"/>
            <w:r>
              <w:t>Padlet</w:t>
            </w:r>
            <w:proofErr w:type="spellEnd"/>
            <w:r>
              <w:t>“ idėjų lentoje</w:t>
            </w:r>
            <w:r>
              <w:t xml:space="preserve">. </w:t>
            </w:r>
            <w:r w:rsidR="00000000">
              <w:t xml:space="preserve">Bus paskatinta emocinė savivoka ir </w:t>
            </w:r>
            <w:proofErr w:type="spellStart"/>
            <w:r w:rsidR="00000000">
              <w:t>savipagalbos</w:t>
            </w:r>
            <w:proofErr w:type="spellEnd"/>
            <w:r w:rsidR="00000000">
              <w:t xml:space="preserve"> įgūdžių taikymas.</w:t>
            </w:r>
          </w:p>
        </w:tc>
      </w:tr>
    </w:tbl>
    <w:p w14:paraId="000000E3" w14:textId="77777777" w:rsidR="005E0370" w:rsidRDefault="005E0370"/>
    <w:p w14:paraId="000000E4" w14:textId="77777777" w:rsidR="005E0370" w:rsidRDefault="00000000">
      <w:r>
        <w:t xml:space="preserve">                                                                                                            _____________________</w:t>
      </w:r>
    </w:p>
    <w:p w14:paraId="000000E5" w14:textId="77777777" w:rsidR="005E0370" w:rsidRDefault="00000000">
      <w:r>
        <w:t xml:space="preserve">SUDERINTA </w:t>
      </w:r>
    </w:p>
    <w:p w14:paraId="000000E6" w14:textId="77777777" w:rsidR="005E0370" w:rsidRDefault="00000000">
      <w:pPr>
        <w:spacing w:after="0" w:line="240" w:lineRule="auto"/>
      </w:pPr>
      <w:r>
        <w:lastRenderedPageBreak/>
        <w:t>Raseinių Šaltinio progimnazijos metodinės tarybos</w:t>
      </w:r>
    </w:p>
    <w:p w14:paraId="000000E7" w14:textId="5A3B9167" w:rsidR="005E0370" w:rsidRDefault="00000000">
      <w:pPr>
        <w:spacing w:after="0" w:line="240" w:lineRule="auto"/>
      </w:pPr>
      <w:r>
        <w:t xml:space="preserve">2025 m. sausio </w:t>
      </w:r>
      <w:r w:rsidR="00014936">
        <w:t>21</w:t>
      </w:r>
      <w:r>
        <w:t xml:space="preserve"> d.  susirinkime (protokolo Nr. </w:t>
      </w:r>
      <w:r w:rsidR="00014936">
        <w:t>1</w:t>
      </w:r>
      <w:r>
        <w:t>)</w:t>
      </w:r>
    </w:p>
    <w:p w14:paraId="000000E8" w14:textId="77777777" w:rsidR="005E0370" w:rsidRDefault="005E0370"/>
    <w:sectPr w:rsidR="005E0370">
      <w:headerReference w:type="default" r:id="rId8"/>
      <w:pgSz w:w="16838" w:h="11906" w:orient="landscape"/>
      <w:pgMar w:top="1701" w:right="567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C735" w14:textId="77777777" w:rsidR="00E76C8D" w:rsidRDefault="00E76C8D">
      <w:pPr>
        <w:spacing w:after="0" w:line="240" w:lineRule="auto"/>
      </w:pPr>
      <w:r>
        <w:separator/>
      </w:r>
    </w:p>
  </w:endnote>
  <w:endnote w:type="continuationSeparator" w:id="0">
    <w:p w14:paraId="63757926" w14:textId="77777777" w:rsidR="00E76C8D" w:rsidRDefault="00E7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BB96" w14:textId="77777777" w:rsidR="00E76C8D" w:rsidRDefault="00E76C8D">
      <w:pPr>
        <w:spacing w:after="0" w:line="240" w:lineRule="auto"/>
      </w:pPr>
      <w:r>
        <w:separator/>
      </w:r>
    </w:p>
  </w:footnote>
  <w:footnote w:type="continuationSeparator" w:id="0">
    <w:p w14:paraId="61E96823" w14:textId="77777777" w:rsidR="00E76C8D" w:rsidRDefault="00E7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E9" w14:textId="6C0CE9E2" w:rsidR="005E03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C7146">
      <w:rPr>
        <w:noProof/>
        <w:color w:val="000000"/>
      </w:rPr>
      <w:t>2</w:t>
    </w:r>
    <w:r>
      <w:rPr>
        <w:color w:val="000000"/>
      </w:rPr>
      <w:fldChar w:fldCharType="end"/>
    </w:r>
  </w:p>
  <w:p w14:paraId="000000EA" w14:textId="77777777" w:rsidR="005E0370" w:rsidRDefault="005E03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B41"/>
    <w:multiLevelType w:val="multilevel"/>
    <w:tmpl w:val="3668910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ED55E2"/>
    <w:multiLevelType w:val="multilevel"/>
    <w:tmpl w:val="27F07B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60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68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num w:numId="1" w16cid:durableId="974718521">
    <w:abstractNumId w:val="1"/>
  </w:num>
  <w:num w:numId="2" w16cid:durableId="175119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70"/>
    <w:rsid w:val="00014936"/>
    <w:rsid w:val="001830FA"/>
    <w:rsid w:val="005C7146"/>
    <w:rsid w:val="005E0370"/>
    <w:rsid w:val="00696AB3"/>
    <w:rsid w:val="006E028C"/>
    <w:rsid w:val="00E7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A0F4"/>
  <w15:docId w15:val="{9A1CBBD0-46E2-4DD5-8502-E8376CC5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7704"/>
  </w:style>
  <w:style w:type="paragraph" w:styleId="Antrat1">
    <w:name w:val="heading 1"/>
    <w:basedOn w:val="prastasis"/>
    <w:next w:val="prastasis"/>
    <w:link w:val="Antrat1Diagrama"/>
    <w:uiPriority w:val="9"/>
    <w:qFormat/>
    <w:rsid w:val="00B464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tarp">
    <w:name w:val="No Spacing"/>
    <w:uiPriority w:val="1"/>
    <w:qFormat/>
    <w:rsid w:val="00DA7704"/>
    <w:pPr>
      <w:spacing w:after="0" w:line="240" w:lineRule="auto"/>
    </w:pPr>
    <w:rPr>
      <w:rFonts w:ascii="Calibri" w:hAnsi="Calibri"/>
    </w:rPr>
  </w:style>
  <w:style w:type="paragraph" w:customStyle="1" w:styleId="Sraopastraipa1">
    <w:name w:val="Sąrašo pastraipa1"/>
    <w:basedOn w:val="prastasis"/>
    <w:uiPriority w:val="34"/>
    <w:qFormat/>
    <w:rsid w:val="00DA7704"/>
    <w:pPr>
      <w:ind w:left="720"/>
      <w:contextualSpacing/>
    </w:pPr>
  </w:style>
  <w:style w:type="paragraph" w:styleId="Sraopastraipa">
    <w:name w:val="List Paragraph"/>
    <w:basedOn w:val="prastasis"/>
    <w:uiPriority w:val="34"/>
    <w:qFormat/>
    <w:rsid w:val="00DA77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64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01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01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01D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01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01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0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01DC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D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247E"/>
    <w:rPr>
      <w:rFonts w:ascii="Times New Roman" w:eastAsia="Times New Roman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6D24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247E"/>
    <w:rPr>
      <w:rFonts w:ascii="Times New Roman" w:eastAsia="Times New Roman" w:hAnsi="Times New Roman" w:cs="Times New Roman"/>
      <w:sz w:val="24"/>
    </w:rPr>
  </w:style>
  <w:style w:type="character" w:styleId="Eilutsnumeris">
    <w:name w:val="line number"/>
    <w:basedOn w:val="Numatytasispastraiposriftas"/>
    <w:uiPriority w:val="99"/>
    <w:semiHidden/>
    <w:unhideWhenUsed/>
    <w:rsid w:val="00040515"/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T5GyXArhWdOEiQkwC6PV2mPIA==">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F66387-0778-450F-8A52-FBE2954BA960}"/>
</file>

<file path=customXml/itemProps3.xml><?xml version="1.0" encoding="utf-8"?>
<ds:datastoreItem xmlns:ds="http://schemas.openxmlformats.org/officeDocument/2006/customXml" ds:itemID="{6A5889EE-7005-492B-B244-735D45E30E79}"/>
</file>

<file path=customXml/itemProps4.xml><?xml version="1.0" encoding="utf-8"?>
<ds:datastoreItem xmlns:ds="http://schemas.openxmlformats.org/officeDocument/2006/customXml" ds:itemID="{EB7B3522-97C3-40E1-99D1-8B5031E8D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4857</Words>
  <Characters>2770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</dc:creator>
  <cp:lastModifiedBy>Jolanta Stankaitienė</cp:lastModifiedBy>
  <cp:revision>3</cp:revision>
  <dcterms:created xsi:type="dcterms:W3CDTF">2025-01-28T13:33:00Z</dcterms:created>
  <dcterms:modified xsi:type="dcterms:W3CDTF">2025-01-28T13:36:00Z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